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3F9F" w14:textId="100A6766" w:rsidR="00FB1F26" w:rsidRPr="00FB1F26" w:rsidRDefault="00FB1F26" w:rsidP="00FB1F26">
      <w:pPr>
        <w:spacing w:after="0" w:line="240" w:lineRule="auto"/>
        <w:jc w:val="center"/>
        <w:outlineLvl w:val="0"/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</w:pP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Exercises Biol-480 “Neuroscience” - Neuroanatomy and Techniques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 xml:space="preserve"> II </w:t>
      </w:r>
      <w:r w:rsidR="00ED75E5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 xml:space="preserve">Solutions 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(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15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/09/202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5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)</w:t>
      </w:r>
    </w:p>
    <w:p w14:paraId="1102C536" w14:textId="77777777" w:rsidR="00FB1F26" w:rsidRDefault="00FB1F26" w:rsidP="00FB1F26"/>
    <w:p w14:paraId="31F953BA" w14:textId="77777777" w:rsidR="00FB1F26" w:rsidRDefault="00FB1F26" w:rsidP="00FB1F26"/>
    <w:p w14:paraId="39A7ED2E" w14:textId="77777777" w:rsidR="00FB1F26" w:rsidRPr="00FB1F26" w:rsidRDefault="00FB1F26" w:rsidP="00FB1F26">
      <w:pPr>
        <w:spacing w:after="0" w:line="240" w:lineRule="auto"/>
        <w:outlineLvl w:val="0"/>
        <w:rPr>
          <w:rFonts w:ascii="Helvetica Neue" w:eastAsia="Times New Roman" w:hAnsi="Helvetica Neue" w:cs="Times New Roman"/>
          <w:b/>
          <w:kern w:val="0"/>
          <w:sz w:val="22"/>
          <w:szCs w:val="22"/>
          <w:lang w:val="en-US"/>
          <w14:ligatures w14:val="none"/>
        </w:rPr>
      </w:pPr>
      <w:r w:rsidRPr="00FB1F26">
        <w:rPr>
          <w:rFonts w:ascii="Helvetica Neue" w:eastAsia="Times New Roman" w:hAnsi="Helvetica Neue" w:cs="Times New Roman"/>
          <w:b/>
          <w:kern w:val="0"/>
          <w:sz w:val="22"/>
          <w:szCs w:val="22"/>
          <w:lang w:val="en-US"/>
          <w14:ligatures w14:val="none"/>
        </w:rPr>
        <w:t>General Questions</w:t>
      </w:r>
    </w:p>
    <w:p w14:paraId="7A42D9A5" w14:textId="77777777" w:rsidR="00FB1F26" w:rsidRDefault="00FB1F26" w:rsidP="00FB1F26">
      <w:pPr>
        <w:spacing w:after="0" w:line="240" w:lineRule="auto"/>
        <w:outlineLvl w:val="0"/>
        <w:rPr>
          <w:rFonts w:ascii="Helvetica Neue" w:eastAsia="Times New Roman" w:hAnsi="Helvetica Neue" w:cs="Times New Roman"/>
          <w:b/>
          <w:kern w:val="0"/>
          <w:sz w:val="22"/>
          <w:szCs w:val="22"/>
          <w:lang w:val="en-US"/>
          <w14:ligatures w14:val="none"/>
        </w:rPr>
      </w:pPr>
    </w:p>
    <w:p w14:paraId="57DA19A5" w14:textId="1B7B4FAA" w:rsidR="00744E73" w:rsidRPr="00ED75E5" w:rsidRDefault="00ED75E5" w:rsidP="00744E73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Helvetica Neue" w:eastAsia="Times New Roman" w:hAnsi="Helvetica Neue" w:cs="Times New Roman"/>
          <w:b/>
          <w:kern w:val="0"/>
          <w:sz w:val="22"/>
          <w:szCs w:val="22"/>
          <w:lang w:val="en-US"/>
          <w14:ligatures w14:val="none"/>
        </w:rPr>
      </w:pPr>
      <w:r>
        <w:rPr>
          <w:rFonts w:ascii="Helvetica Neue" w:eastAsia="Times New Roman" w:hAnsi="Helvetica Neue" w:cs="Times New Roman"/>
          <w:bCs/>
          <w:kern w:val="0"/>
          <w:sz w:val="22"/>
          <w:szCs w:val="22"/>
          <w:lang w:val="en-US"/>
          <w14:ligatures w14:val="none"/>
        </w:rPr>
        <w:t>What system controls reactions to stress and regulates reproductive functions?</w:t>
      </w:r>
    </w:p>
    <w:p w14:paraId="3B87B6F7" w14:textId="4AA4C93E" w:rsidR="00ED75E5" w:rsidRPr="00ED75E5" w:rsidRDefault="00ED75E5" w:rsidP="00ED75E5">
      <w:pPr>
        <w:pStyle w:val="ListParagraph"/>
        <w:spacing w:after="0" w:line="240" w:lineRule="auto"/>
        <w:outlineLvl w:val="0"/>
        <w:rPr>
          <w:rFonts w:ascii="Helvetica Neue" w:eastAsia="Times New Roman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ED75E5">
        <w:rPr>
          <w:rFonts w:ascii="Helvetica Neue" w:eastAsia="Times New Roman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Hypothalamic–pituitary–adrenal (HPA) axis</w:t>
      </w:r>
    </w:p>
    <w:p w14:paraId="31AF1BFF" w14:textId="0E165A6A" w:rsidR="00ED75E5" w:rsidRPr="00ED75E5" w:rsidRDefault="00ED75E5" w:rsidP="00744E73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Helvetica Neue" w:eastAsia="Times New Roman" w:hAnsi="Helvetica Neue" w:cs="Times New Roman"/>
          <w:b/>
          <w:kern w:val="0"/>
          <w:sz w:val="22"/>
          <w:szCs w:val="22"/>
          <w:lang w:val="en-US"/>
          <w14:ligatures w14:val="none"/>
        </w:rPr>
      </w:pPr>
      <w:r>
        <w:rPr>
          <w:rFonts w:ascii="Helvetica Neue" w:eastAsia="Times New Roman" w:hAnsi="Helvetica Neue" w:cs="Times New Roman"/>
          <w:bCs/>
          <w:kern w:val="0"/>
          <w:sz w:val="22"/>
          <w:szCs w:val="22"/>
          <w:lang w:val="en-US"/>
          <w14:ligatures w14:val="none"/>
        </w:rPr>
        <w:t>Which system is implicated in learning and memory? Give 2 examples of structures involved.</w:t>
      </w:r>
    </w:p>
    <w:p w14:paraId="5F042DF9" w14:textId="57A526C5" w:rsidR="00ED75E5" w:rsidRPr="00ED75E5" w:rsidRDefault="00ED75E5" w:rsidP="00ED75E5">
      <w:pPr>
        <w:pStyle w:val="ListParagraph"/>
        <w:spacing w:after="0" w:line="240" w:lineRule="auto"/>
        <w:outlineLvl w:val="0"/>
        <w:rPr>
          <w:rFonts w:ascii="Helvetica Neue" w:eastAsia="Times New Roman" w:hAnsi="Helvetica Neue" w:cs="Times New Roman"/>
          <w:b/>
          <w:color w:val="0070C0"/>
          <w:kern w:val="0"/>
          <w:sz w:val="22"/>
          <w:szCs w:val="22"/>
          <w:lang w:val="en-US"/>
          <w14:ligatures w14:val="none"/>
        </w:rPr>
      </w:pPr>
      <w:proofErr w:type="spellStart"/>
      <w:r w:rsidRPr="00ED75E5">
        <w:rPr>
          <w:rFonts w:ascii="Helvetica Neue" w:eastAsia="Times New Roman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Lymbic</w:t>
      </w:r>
      <w:proofErr w:type="spellEnd"/>
      <w:r w:rsidRPr="00ED75E5">
        <w:rPr>
          <w:rFonts w:ascii="Helvetica Neue" w:eastAsia="Times New Roman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 xml:space="preserve"> </w:t>
      </w:r>
      <w:proofErr w:type="gramStart"/>
      <w:r w:rsidRPr="00ED75E5">
        <w:rPr>
          <w:rFonts w:ascii="Helvetica Neue" w:eastAsia="Times New Roman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system :</w:t>
      </w:r>
      <w:proofErr w:type="gramEnd"/>
      <w:r w:rsidRPr="00ED75E5">
        <w:rPr>
          <w:rFonts w:ascii="Helvetica Neue" w:eastAsia="Times New Roman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 xml:space="preserve"> Amygdala, Hippocampus.</w:t>
      </w:r>
    </w:p>
    <w:p w14:paraId="5242BDD6" w14:textId="2E747922" w:rsidR="00FB1F26" w:rsidRPr="00744E73" w:rsidRDefault="00744E73" w:rsidP="00744E73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kern w:val="0"/>
          <w:sz w:val="22"/>
          <w:szCs w:val="22"/>
          <w:lang w:val="en-US"/>
          <w14:ligatures w14:val="none"/>
        </w:rPr>
      </w:pPr>
      <w:r w:rsidRPr="00744E73">
        <w:rPr>
          <w:rFonts w:ascii="Helvetica Neue" w:eastAsia="Times New Roman" w:hAnsi="Helvetica Neue" w:cs="Times New Roman"/>
          <w:kern w:val="0"/>
          <w:sz w:val="22"/>
          <w:szCs w:val="22"/>
          <w:lang w:val="en-US"/>
          <w14:ligatures w14:val="none"/>
        </w:rPr>
        <w:t>In the diagram below, label the five major divisions of the brain (Telencephalon, Diencephalon, Mesencephalon, Metencephalon, Myelencephalon)</w:t>
      </w:r>
    </w:p>
    <w:p w14:paraId="04F91B98" w14:textId="5EA3CF15" w:rsidR="00FB1F26" w:rsidRPr="00744E73" w:rsidRDefault="00ED75E5" w:rsidP="00744E73">
      <w:pPr>
        <w:spacing w:after="0" w:line="240" w:lineRule="auto"/>
        <w:contextualSpacing/>
        <w:jc w:val="center"/>
        <w:rPr>
          <w:rFonts w:ascii="Helvetica Neue" w:eastAsia="Times New Roman" w:hAnsi="Helvetica Neue" w:cs="Times New Roman"/>
          <w:kern w:val="0"/>
          <w:sz w:val="22"/>
          <w:szCs w:val="22"/>
          <w:lang w:val="en-US"/>
          <w14:ligatures w14:val="none"/>
        </w:rPr>
      </w:pPr>
      <w:r>
        <w:fldChar w:fldCharType="begin"/>
      </w:r>
      <w:r>
        <w:instrText xml:space="preserve"> INCLUDEPICTURE "https://admin.anatomy.app/Media/images/b51a7fa6-b92a-488b-853d-8463411d5b2c_large.jpg"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CDE9B24" wp14:editId="06CBD146">
            <wp:extent cx="3540080" cy="3524250"/>
            <wp:effectExtent l="0" t="0" r="3810" b="0"/>
            <wp:docPr id="2128041438" name="Image 3" descr="Parts of brain, telencephalon, mesencephalon, metencephalon, myelencephalon, diencephalon, brain anat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ts of brain, telencephalon, mesencephalon, metencephalon, myelencephalon, diencephalon, brain anatom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875" cy="359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E046C70" w14:textId="77777777" w:rsidR="00FB1F26" w:rsidRDefault="00FB1F26" w:rsidP="00FB1F26">
      <w:pPr>
        <w:spacing w:after="0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50C75983" w14:textId="21B049A7" w:rsidR="00FB1F26" w:rsidRPr="00FB1F26" w:rsidRDefault="00FB1F26" w:rsidP="00FB1F26">
      <w:pPr>
        <w:spacing w:after="0" w:line="240" w:lineRule="auto"/>
        <w:contextualSpacing/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14:ligatures w14:val="none"/>
        </w:rPr>
      </w:pPr>
      <w:r w:rsidRPr="00FB1F26"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14:ligatures w14:val="none"/>
        </w:rPr>
        <w:t>Clinical case</w:t>
      </w:r>
      <w:r w:rsidR="00436D70"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14:ligatures w14:val="none"/>
        </w:rPr>
        <w:t xml:space="preserve"> 1</w:t>
      </w:r>
    </w:p>
    <w:p w14:paraId="49A20F68" w14:textId="77777777" w:rsidR="00FB1F26" w:rsidRDefault="00FB1F26" w:rsidP="00FB1F26">
      <w:pPr>
        <w:spacing w:after="0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002BE97E" w14:textId="47C9375A" w:rsidR="00FB1F26" w:rsidRDefault="00FB1F26" w:rsidP="000034A0">
      <w:pPr>
        <w:spacing w:after="0" w:line="240" w:lineRule="auto"/>
        <w:contextualSpacing/>
        <w:jc w:val="both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 w:rsidRPr="00FB1F26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On the morning prior to presentation the patient awoke with decreased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FB1F26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sensation in her right face and arm “as though they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FB1F26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were asleep.” She had no difficulties with language, motor skills,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FB1F26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or vision. Her symptoms continued until the next morning, when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FB1F26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she also noticed loss of sensation in her right foot. She became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FB1F26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concerned and came to her medical clinic for evaluation.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FB1F26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Past medical history was notable for hypertension, cigarette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FB1F26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smoking, and depression.</w:t>
      </w:r>
      <w:r w:rsidR="002223BF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="002223BF" w:rsidRPr="002223BF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Her father had a stroke at age 64.</w:t>
      </w:r>
    </w:p>
    <w:p w14:paraId="39911203" w14:textId="77777777" w:rsidR="00FB1F26" w:rsidRDefault="00FB1F26" w:rsidP="00FB1F26">
      <w:pPr>
        <w:spacing w:after="0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23EE5517" w14:textId="0228E98B" w:rsidR="00FB1F26" w:rsidRPr="000034A0" w:rsidRDefault="00FB1F26" w:rsidP="000034A0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 w:rsidRPr="000034A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The key symtoms are :</w:t>
      </w:r>
    </w:p>
    <w:p w14:paraId="157B7490" w14:textId="793E9519" w:rsidR="00F314D4" w:rsidRDefault="00F314D4" w:rsidP="000034A0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 w:rsidRPr="000034A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Decreased primary sensation in half of the body, including the face, with</w:t>
      </w:r>
      <w:r w:rsidR="000034A0" w:rsidRPr="000034A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0034A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no other deficits :</w:t>
      </w:r>
      <w:r w:rsidR="000034A0" w:rsidRPr="000034A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decreased pinprick, temperature, vibration, and light touch sensation in the right face and body, with decreased two-point discrimination in the right hand</w:t>
      </w:r>
    </w:p>
    <w:p w14:paraId="05939758" w14:textId="77777777" w:rsidR="000034A0" w:rsidRDefault="000034A0" w:rsidP="000034A0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0FB0E315" w14:textId="0109BA8D" w:rsidR="000034A0" w:rsidRDefault="000034A0" w:rsidP="000034A0">
      <w:pPr>
        <w:pStyle w:val="ListParagraph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lastRenderedPageBreak/>
        <w:t>Which structure contains the major sensory nuclei?</w:t>
      </w:r>
    </w:p>
    <w:p w14:paraId="1CC9985A" w14:textId="0E7622CC" w:rsidR="000034A0" w:rsidRPr="000034A0" w:rsidRDefault="000034A0" w:rsidP="000034A0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0034A0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The thalamus.</w:t>
      </w:r>
    </w:p>
    <w:p w14:paraId="60AD41D5" w14:textId="5246E870" w:rsidR="000034A0" w:rsidRDefault="000034A0" w:rsidP="000034A0">
      <w:pPr>
        <w:pStyle w:val="ListParagraph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Which imaging technique would you use to observe this structure?</w:t>
      </w:r>
    </w:p>
    <w:p w14:paraId="68EA4BED" w14:textId="0B950F23" w:rsidR="000034A0" w:rsidRPr="000034A0" w:rsidRDefault="000034A0" w:rsidP="000034A0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0034A0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CT scan can be used but MRI would be more precise.</w:t>
      </w:r>
    </w:p>
    <w:p w14:paraId="6C969D39" w14:textId="77777777" w:rsidR="00632A4E" w:rsidRDefault="00632A4E" w:rsidP="00632A4E">
      <w:pPr>
        <w:pStyle w:val="ListParagraph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 w:rsidRPr="00E2594D">
        <w:rPr>
          <w:rFonts w:ascii="Helvetica Neue" w:eastAsia="Times New Roman" w:hAnsi="Helvetica Neue" w:cs="Times New Roman"/>
          <w:kern w:val="0"/>
          <w:sz w:val="22"/>
          <w:szCs w:val="22"/>
          <w:lang w:val="en-GB"/>
          <w14:ligatures w14:val="none"/>
        </w:rPr>
        <w:t>On the image below (what type of image is it</w:t>
      </w:r>
      <w:r>
        <w:rPr>
          <w:rFonts w:ascii="Helvetica Neue" w:eastAsia="Times New Roman" w:hAnsi="Helvetica Neue" w:cs="Times New Roman"/>
          <w:kern w:val="0"/>
          <w:sz w:val="22"/>
          <w:szCs w:val="22"/>
          <w:lang w:val="en-GB"/>
          <w14:ligatures w14:val="none"/>
        </w:rPr>
        <w:t xml:space="preserve">?), do you notice something unusual about the thalamus? </w:t>
      </w:r>
    </w:p>
    <w:p w14:paraId="41479245" w14:textId="7CB243B8" w:rsidR="00632A4E" w:rsidRPr="00E65D6D" w:rsidRDefault="00632A4E" w:rsidP="00E65D6D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E65D6D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:lang w:val="en-GB"/>
          <w14:ligatures w14:val="none"/>
        </w:rPr>
        <w:t>MRI image</w:t>
      </w:r>
    </w:p>
    <w:p w14:paraId="712905F2" w14:textId="242AD1E9" w:rsidR="000034A0" w:rsidRPr="000034A0" w:rsidRDefault="00632A4E" w:rsidP="000034A0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:lang w:val="de-CH"/>
          <w14:ligatures w14:val="none"/>
        </w:rPr>
        <w:t xml:space="preserve">Unilateral </w:t>
      </w:r>
      <w:r w:rsidR="000034A0" w:rsidRPr="000034A0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Infarct in the thalamus</w:t>
      </w:r>
    </w:p>
    <w:p w14:paraId="70D1BDB1" w14:textId="77777777" w:rsidR="00FB1F26" w:rsidRDefault="00FB1F26" w:rsidP="00FB1F26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3B203C75" w14:textId="1EF9FEF1" w:rsidR="00FB1F26" w:rsidRPr="00FB1F26" w:rsidRDefault="002223BF" w:rsidP="00FB1F26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63778" wp14:editId="728DD337">
                <wp:simplePos x="0" y="0"/>
                <wp:positionH relativeFrom="column">
                  <wp:posOffset>4171950</wp:posOffset>
                </wp:positionH>
                <wp:positionV relativeFrom="paragraph">
                  <wp:posOffset>1773555</wp:posOffset>
                </wp:positionV>
                <wp:extent cx="438150" cy="200025"/>
                <wp:effectExtent l="12700" t="12700" r="19050" b="15875"/>
                <wp:wrapNone/>
                <wp:docPr id="2069979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B197B" id="Rectangle 2" o:spid="_x0000_s1026" style="position:absolute;margin-left:328.5pt;margin-top:139.65pt;width:34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" fillcolor="black [3200]" strokecolor="black [480]" strokeweight="1.5pt"/>
            </w:pict>
          </mc:Fallback>
        </mc:AlternateContent>
      </w:r>
      <w:r w:rsidR="00B91A3E">
        <w:rPr>
          <w:rFonts w:ascii="Helvetica Neue" w:eastAsia="Times New Roman" w:hAnsi="Helvetica Neue" w:cs="Times New Roman"/>
          <w:noProof/>
          <w:kern w:val="0"/>
          <w:sz w:val="22"/>
          <w:szCs w:val="22"/>
        </w:rPr>
        <w:drawing>
          <wp:inline distT="0" distB="0" distL="0" distR="0" wp14:anchorId="6E6F50DA" wp14:editId="49C58872">
            <wp:extent cx="5731510" cy="3881120"/>
            <wp:effectExtent l="0" t="0" r="0" b="5080"/>
            <wp:docPr id="1382516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516727" name="Picture 13825167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5F947" w14:textId="77777777" w:rsidR="00FB1F26" w:rsidRDefault="00FB1F26" w:rsidP="00FB1F26">
      <w:pPr>
        <w:spacing w:after="0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076D06DA" w14:textId="21C27F57" w:rsidR="000034A0" w:rsidRDefault="000034A0" w:rsidP="000034A0">
      <w:pPr>
        <w:spacing w:after="0" w:line="240" w:lineRule="auto"/>
        <w:contextualSpacing/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14:ligatures w14:val="none"/>
        </w:rPr>
        <w:t>Clinical case</w:t>
      </w:r>
      <w:r w:rsidR="00436D70"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14:ligatures w14:val="none"/>
        </w:rPr>
        <w:t xml:space="preserve"> 2</w:t>
      </w:r>
    </w:p>
    <w:p w14:paraId="068A251F" w14:textId="77777777" w:rsidR="000034A0" w:rsidRPr="000034A0" w:rsidRDefault="000034A0" w:rsidP="000034A0">
      <w:pPr>
        <w:spacing w:after="0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65795A89" w14:textId="77899819" w:rsidR="000034A0" w:rsidRDefault="007749D0" w:rsidP="007749D0">
      <w:pPr>
        <w:spacing w:after="0" w:line="240" w:lineRule="auto"/>
        <w:contextualSpacing/>
        <w:jc w:val="both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A 40-year-old, right-handed woman came to the emergency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room because of unusual episodes. She had been healthy until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2 weeks previously, when she awoke one night from sleep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and complained to her husband of an indescribable, unpleasan</w:t>
      </w:r>
      <w:r w:rsidR="00632A4E" w:rsidRPr="00E65D6D">
        <w:rPr>
          <w:rFonts w:ascii="Helvetica Neue" w:eastAsia="Times New Roman" w:hAnsi="Helvetica Neue" w:cs="Times New Roman"/>
          <w:kern w:val="0"/>
          <w:sz w:val="22"/>
          <w:szCs w:val="22"/>
          <w:lang w:val="en-GB"/>
          <w14:ligatures w14:val="none"/>
        </w:rPr>
        <w:t>t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odor, nausea, and a panicky, fearful sensation. This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lasted for 2 to 3 minutes, after which she felt very tired and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went back to sleep. During the following week, while traveling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with a Girl Scout troup, she began having stereotyped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episodes about three times per day. These always began with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panic, nausea, and a strong unpleasant odor “like smelling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salts,” followed by decreased responsiveness and slow, inappropriate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speech lasting 2 to 3 minutes. After each episode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she had a bifrontal headache and felt very tired. On the day of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presentation, she had six episodes of this kind, so her husband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brought her to the emergency room. General exam and a detailed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neurologic exam were normal.</w:t>
      </w:r>
    </w:p>
    <w:p w14:paraId="03EDAE1B" w14:textId="77777777" w:rsidR="007749D0" w:rsidRDefault="007749D0" w:rsidP="007749D0">
      <w:pPr>
        <w:spacing w:after="0" w:line="240" w:lineRule="auto"/>
        <w:contextualSpacing/>
        <w:jc w:val="both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4EA0576C" w14:textId="3F27B74D" w:rsidR="007749D0" w:rsidRDefault="007749D0" w:rsidP="00436D70">
      <w:pPr>
        <w:pStyle w:val="ListParagraph"/>
        <w:numPr>
          <w:ilvl w:val="0"/>
          <w:numId w:val="8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The patient seems to experience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episodes of panic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(no other emotions affected)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, olfactory hallucinations, and loss of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7749D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awareness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.</w:t>
      </w:r>
      <w:r w:rsidR="00436D7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On the basis of the symptoms, where in the brain is dysfunction occurring during the episodes?</w:t>
      </w:r>
    </w:p>
    <w:p w14:paraId="12FDD8C9" w14:textId="1C2061F5" w:rsidR="00103955" w:rsidRPr="00103955" w:rsidRDefault="00103955" w:rsidP="00103955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103955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lastRenderedPageBreak/>
        <w:t>Temporal lobe structures (limbic system), especially the medial temporal lobe (amygdala, hippocampus, olfactory cortex). These areas process fear, memory, and smell</w:t>
      </w:r>
      <w:r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.</w:t>
      </w:r>
    </w:p>
    <w:p w14:paraId="04625376" w14:textId="5FF86D7B" w:rsidR="00436D70" w:rsidRDefault="00436D70" w:rsidP="00436D70">
      <w:pPr>
        <w:pStyle w:val="ListParagraph"/>
        <w:numPr>
          <w:ilvl w:val="0"/>
          <w:numId w:val="8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Which imaging technique would you use to confirm the location of this dysfunction?</w:t>
      </w:r>
    </w:p>
    <w:p w14:paraId="2E8D0336" w14:textId="7F16E86D" w:rsidR="00103955" w:rsidRPr="00103955" w:rsidRDefault="00103955" w:rsidP="00103955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fMRI.</w:t>
      </w:r>
    </w:p>
    <w:p w14:paraId="3104F439" w14:textId="2D773DFD" w:rsidR="00436D70" w:rsidRDefault="00436D70" w:rsidP="00436D70">
      <w:pPr>
        <w:pStyle w:val="ListParagraph"/>
        <w:numPr>
          <w:ilvl w:val="0"/>
          <w:numId w:val="8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 w:rsidRPr="00436D7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What type of transient neurological episodes was this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 xml:space="preserve"> </w:t>
      </w:r>
      <w:r w:rsidRPr="00436D70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patient most likely experiencing</w:t>
      </w: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?</w:t>
      </w:r>
    </w:p>
    <w:p w14:paraId="172BF073" w14:textId="3175E260" w:rsidR="00103955" w:rsidRPr="00103955" w:rsidRDefault="00103955" w:rsidP="00103955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103955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Focal (partial) seizures</w:t>
      </w:r>
      <w:r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.</w:t>
      </w:r>
    </w:p>
    <w:p w14:paraId="21EA578B" w14:textId="77777777" w:rsidR="00436D70" w:rsidRDefault="00436D70" w:rsidP="00436D70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1757F589" w14:textId="77777777" w:rsidR="007B0D2A" w:rsidRPr="00436D70" w:rsidRDefault="007B0D2A" w:rsidP="007B0D2A">
      <w:pPr>
        <w:spacing w:after="0" w:line="240" w:lineRule="auto"/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14:ligatures w14:val="none"/>
        </w:rPr>
      </w:pPr>
      <w:r w:rsidRPr="00436D70"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14:ligatures w14:val="none"/>
        </w:rPr>
        <w:t>Experiment</w:t>
      </w:r>
    </w:p>
    <w:p w14:paraId="247356EC" w14:textId="77777777" w:rsidR="007B0D2A" w:rsidRDefault="007B0D2A" w:rsidP="007B0D2A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77DA6084" w14:textId="77777777" w:rsidR="007B0D2A" w:rsidRDefault="007B0D2A" w:rsidP="007B0D2A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 w:rsidRPr="00931A59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Li et al. (2020) showed that sustained voluntary wheel running not only improves motor skill learning but also induces a neurotransmitter switch in a subset of midbrain cholinergic neurons (caudal pedunculopontine nucleus, cPPN), shifting from acetylcholine (ACh) to GABA release.</w:t>
      </w:r>
    </w:p>
    <w:p w14:paraId="0FB59E6B" w14:textId="77777777" w:rsidR="007B0D2A" w:rsidRDefault="007B0D2A" w:rsidP="007B0D2A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458B2917" w14:textId="77777777" w:rsidR="007B0D2A" w:rsidRDefault="007B0D2A" w:rsidP="007B0D2A">
      <w:pPr>
        <w:pStyle w:val="ListParagraph"/>
        <w:numPr>
          <w:ilvl w:val="0"/>
          <w:numId w:val="9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Which animal model would you use?</w:t>
      </w:r>
    </w:p>
    <w:p w14:paraId="06B4365E" w14:textId="77777777" w:rsidR="007B0D2A" w:rsidRPr="00EF28C0" w:rsidRDefault="007B0D2A" w:rsidP="007B0D2A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EF28C0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Mice</w:t>
      </w:r>
    </w:p>
    <w:p w14:paraId="4A9673E9" w14:textId="77777777" w:rsidR="007B0D2A" w:rsidRPr="000310A3" w:rsidRDefault="007B0D2A" w:rsidP="007B0D2A">
      <w:pPr>
        <w:pStyle w:val="ListParagraph"/>
        <w:numPr>
          <w:ilvl w:val="0"/>
          <w:numId w:val="9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What behavioral test would you choose to assess motor skill learning?</w:t>
      </w:r>
    </w:p>
    <w:p w14:paraId="08E9A197" w14:textId="77777777" w:rsidR="007B0D2A" w:rsidRPr="00EF28C0" w:rsidRDefault="007B0D2A" w:rsidP="007B0D2A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EF28C0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Rotarod</w:t>
      </w:r>
    </w:p>
    <w:p w14:paraId="05E8DF92" w14:textId="77777777" w:rsidR="007B0D2A" w:rsidRDefault="007B0D2A" w:rsidP="007B0D2A">
      <w:pPr>
        <w:pStyle w:val="ListParagraph"/>
        <w:numPr>
          <w:ilvl w:val="0"/>
          <w:numId w:val="9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Which technique(s) would you use to differentiate cholinergic from gabaergic neurons?</w:t>
      </w:r>
    </w:p>
    <w:p w14:paraId="51D5A2FA" w14:textId="77777777" w:rsidR="007B0D2A" w:rsidRDefault="007B0D2A" w:rsidP="007B0D2A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6F212D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 xml:space="preserve">Immunohistochemistry/immunofluorescence for </w:t>
      </w:r>
      <w:r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 xml:space="preserve">marker of </w:t>
      </w:r>
      <w:r w:rsidRPr="006F212D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cholinergic</w:t>
      </w:r>
      <w:r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 xml:space="preserve"> neurons</w:t>
      </w:r>
      <w:r w:rsidRPr="006F212D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 xml:space="preserve"> and </w:t>
      </w:r>
      <w:r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 xml:space="preserve">marker of </w:t>
      </w:r>
      <w:r w:rsidRPr="006F212D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GABAergic</w:t>
      </w:r>
      <w:r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 xml:space="preserve"> neurons</w:t>
      </w:r>
      <w:r w:rsidRPr="006F212D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 xml:space="preserve"> in the targeted brain area</w:t>
      </w:r>
    </w:p>
    <w:p w14:paraId="0BDA40D7" w14:textId="77777777" w:rsidR="007B0D2A" w:rsidRDefault="007B0D2A" w:rsidP="007B0D2A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Western Blot</w:t>
      </w:r>
    </w:p>
    <w:p w14:paraId="4EF640C9" w14:textId="77777777" w:rsidR="007B0D2A" w:rsidRDefault="007B0D2A" w:rsidP="007B0D2A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931A59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Single-cell RNA sequencing for a more detailed view of neurotransmitter identity</w:t>
      </w:r>
    </w:p>
    <w:p w14:paraId="58204033" w14:textId="77777777" w:rsidR="007B0D2A" w:rsidRDefault="007B0D2A" w:rsidP="007B0D2A">
      <w:pPr>
        <w:pStyle w:val="ListParagraph"/>
        <w:numPr>
          <w:ilvl w:val="0"/>
          <w:numId w:val="9"/>
        </w:num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  <w:r w:rsidRPr="00407A79"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  <w:t>How would you test whether the neurotransmitter switch is functionally important for motor learning?</w:t>
      </w:r>
    </w:p>
    <w:p w14:paraId="684BD4EB" w14:textId="43DC2838" w:rsidR="007B0D2A" w:rsidRPr="00407A79" w:rsidRDefault="007B0D2A" w:rsidP="007B0D2A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</w:pPr>
      <w:r w:rsidRPr="00407A79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>Use viral or genetic tools to block the switch and see if motor skill learning improvements after wheel running are abolished</w:t>
      </w:r>
      <w:r w:rsidR="001A3437"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14:ligatures w14:val="none"/>
        </w:rPr>
        <w:t xml:space="preserve"> : the virus should be cell-type specific. To do this, we use cell-type specific promoters.</w:t>
      </w:r>
    </w:p>
    <w:p w14:paraId="7A9B2D31" w14:textId="77777777" w:rsidR="00436D70" w:rsidRDefault="00436D70" w:rsidP="00436D70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p w14:paraId="5E763AC3" w14:textId="77777777" w:rsidR="00436D70" w:rsidRPr="00436D70" w:rsidRDefault="00436D70" w:rsidP="00436D70">
      <w:pPr>
        <w:spacing w:after="0" w:line="240" w:lineRule="auto"/>
        <w:rPr>
          <w:rFonts w:ascii="Helvetica Neue" w:eastAsia="Times New Roman" w:hAnsi="Helvetica Neue" w:cs="Times New Roman"/>
          <w:kern w:val="0"/>
          <w:sz w:val="22"/>
          <w:szCs w:val="22"/>
          <w14:ligatures w14:val="none"/>
        </w:rPr>
      </w:pPr>
    </w:p>
    <w:sectPr w:rsidR="00436D70" w:rsidRPr="00436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C09"/>
    <w:multiLevelType w:val="hybridMultilevel"/>
    <w:tmpl w:val="26D4F3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B97"/>
    <w:multiLevelType w:val="hybridMultilevel"/>
    <w:tmpl w:val="F22C3FBA"/>
    <w:lvl w:ilvl="0" w:tplc="6D805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D4394"/>
    <w:multiLevelType w:val="hybridMultilevel"/>
    <w:tmpl w:val="787A7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CF7998"/>
    <w:multiLevelType w:val="hybridMultilevel"/>
    <w:tmpl w:val="D1C28FB8"/>
    <w:lvl w:ilvl="0" w:tplc="5218FB1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630A77"/>
    <w:multiLevelType w:val="hybridMultilevel"/>
    <w:tmpl w:val="A7ECB2F8"/>
    <w:lvl w:ilvl="0" w:tplc="59A8D7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746C9"/>
    <w:multiLevelType w:val="hybridMultilevel"/>
    <w:tmpl w:val="26D4F31A"/>
    <w:lvl w:ilvl="0" w:tplc="6D805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22DC3"/>
    <w:multiLevelType w:val="hybridMultilevel"/>
    <w:tmpl w:val="95EAC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C0A3F"/>
    <w:multiLevelType w:val="hybridMultilevel"/>
    <w:tmpl w:val="BF26CBEE"/>
    <w:lvl w:ilvl="0" w:tplc="6D805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36786"/>
    <w:multiLevelType w:val="hybridMultilevel"/>
    <w:tmpl w:val="A0161D3A"/>
    <w:lvl w:ilvl="0" w:tplc="8C18E05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29807">
    <w:abstractNumId w:val="8"/>
  </w:num>
  <w:num w:numId="2" w16cid:durableId="1469591871">
    <w:abstractNumId w:val="5"/>
  </w:num>
  <w:num w:numId="3" w16cid:durableId="1863663558">
    <w:abstractNumId w:val="2"/>
  </w:num>
  <w:num w:numId="4" w16cid:durableId="49883760">
    <w:abstractNumId w:val="4"/>
  </w:num>
  <w:num w:numId="5" w16cid:durableId="435366815">
    <w:abstractNumId w:val="3"/>
  </w:num>
  <w:num w:numId="6" w16cid:durableId="1244753462">
    <w:abstractNumId w:val="6"/>
  </w:num>
  <w:num w:numId="7" w16cid:durableId="1008484846">
    <w:abstractNumId w:val="0"/>
  </w:num>
  <w:num w:numId="8" w16cid:durableId="1809932063">
    <w:abstractNumId w:val="1"/>
  </w:num>
  <w:num w:numId="9" w16cid:durableId="388454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26"/>
    <w:rsid w:val="000034A0"/>
    <w:rsid w:val="00066C76"/>
    <w:rsid w:val="00103955"/>
    <w:rsid w:val="001A3437"/>
    <w:rsid w:val="002223BF"/>
    <w:rsid w:val="003717A9"/>
    <w:rsid w:val="00436D70"/>
    <w:rsid w:val="00632A4E"/>
    <w:rsid w:val="00671CFF"/>
    <w:rsid w:val="00744E73"/>
    <w:rsid w:val="007749D0"/>
    <w:rsid w:val="007B0D2A"/>
    <w:rsid w:val="007E63D2"/>
    <w:rsid w:val="00B91A3E"/>
    <w:rsid w:val="00E65D6D"/>
    <w:rsid w:val="00ED75E5"/>
    <w:rsid w:val="00F314D4"/>
    <w:rsid w:val="00F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D498"/>
  <w15:chartTrackingRefBased/>
  <w15:docId w15:val="{42AAF5ED-DA1C-F240-AE34-D702EFD4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F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5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2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A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A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2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Anh NGUYEN</dc:creator>
  <cp:keywords/>
  <dc:description/>
  <cp:lastModifiedBy>Vi Anh NGUYEN</cp:lastModifiedBy>
  <cp:revision>4</cp:revision>
  <dcterms:created xsi:type="dcterms:W3CDTF">2025-09-14T15:08:00Z</dcterms:created>
  <dcterms:modified xsi:type="dcterms:W3CDTF">2025-09-15T08:08:00Z</dcterms:modified>
</cp:coreProperties>
</file>